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7E76" w14:textId="77777777" w:rsidR="00292882" w:rsidRDefault="00292882"/>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663133">
        <w:trPr>
          <w:gridAfter w:val="1"/>
          <w:wAfter w:w="426" w:type="dxa"/>
        </w:trPr>
        <w:tc>
          <w:tcPr>
            <w:tcW w:w="9776" w:type="dxa"/>
            <w:gridSpan w:val="2"/>
            <w:tcBorders>
              <w:top w:val="nil"/>
              <w:left w:val="nil"/>
              <w:bottom w:val="nil"/>
              <w:right w:val="nil"/>
            </w:tcBorders>
            <w:vAlign w:val="center"/>
          </w:tcPr>
          <w:p w14:paraId="09C54A6A" w14:textId="77777777" w:rsidR="00292882" w:rsidRDefault="00292882" w:rsidP="00663133">
            <w:pPr>
              <w:pStyle w:val="Title"/>
              <w:rPr>
                <w:rFonts w:ascii="Comfortaa" w:hAnsi="Comfortaa"/>
                <w:sz w:val="96"/>
                <w:szCs w:val="96"/>
              </w:rPr>
            </w:pPr>
            <w:r>
              <w:rPr>
                <w:rFonts w:ascii="Comfortaa" w:hAnsi="Comfortaa"/>
                <w:sz w:val="96"/>
                <w:szCs w:val="96"/>
              </w:rPr>
              <w:t xml:space="preserve"> </w:t>
            </w:r>
          </w:p>
          <w:p w14:paraId="1C37D614" w14:textId="77777777" w:rsidR="00292882" w:rsidRPr="00AF071F" w:rsidRDefault="00663133" w:rsidP="00663133">
            <w:pPr>
              <w:pStyle w:val="Title"/>
              <w:rPr>
                <w:rFonts w:ascii="Comfortaa" w:hAnsi="Comfortaa"/>
                <w:sz w:val="112"/>
                <w:szCs w:val="112"/>
              </w:rPr>
            </w:pPr>
            <w:r w:rsidRPr="00AF071F">
              <w:rPr>
                <w:rFonts w:ascii="Comfortaa" w:hAnsi="Comfortaa"/>
                <w:sz w:val="112"/>
                <w:szCs w:val="112"/>
              </w:rPr>
              <w:t xml:space="preserve">Briefing Note 6:   </w:t>
            </w:r>
          </w:p>
          <w:p w14:paraId="0A45BDAB" w14:textId="1BFEE22F" w:rsidR="00C31E9F" w:rsidRPr="00E31A05" w:rsidRDefault="00663133" w:rsidP="00663133">
            <w:pPr>
              <w:pStyle w:val="Title"/>
              <w:rPr>
                <w:color w:val="5E6A71" w:themeColor="text1"/>
              </w:rPr>
            </w:pPr>
            <w:r w:rsidRPr="00AF071F">
              <w:rPr>
                <w:rFonts w:ascii="Comfortaa" w:hAnsi="Comfortaa"/>
                <w:sz w:val="112"/>
                <w:szCs w:val="112"/>
              </w:rPr>
              <w:t>Non-Typical Gas Demands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F410D6E" w14:textId="77777777" w:rsidR="00292882" w:rsidRDefault="00292882" w:rsidP="0033789F">
            <w:pPr>
              <w:pStyle w:val="Subtitle"/>
            </w:pPr>
          </w:p>
          <w:p w14:paraId="33A799F0" w14:textId="77777777" w:rsidR="00292882" w:rsidRDefault="00292882" w:rsidP="0033789F">
            <w:pPr>
              <w:pStyle w:val="Subtitle"/>
            </w:pPr>
          </w:p>
          <w:p w14:paraId="3CF3C04D" w14:textId="77777777" w:rsidR="00292882" w:rsidRDefault="00292882" w:rsidP="0033789F">
            <w:pPr>
              <w:pStyle w:val="Subtitle"/>
            </w:pPr>
          </w:p>
          <w:p w14:paraId="1F241389" w14:textId="77777777" w:rsidR="00292882" w:rsidRDefault="00292882" w:rsidP="0033789F">
            <w:pPr>
              <w:pStyle w:val="Subtitle"/>
            </w:pPr>
          </w:p>
          <w:p w14:paraId="52BF9D35" w14:textId="77777777" w:rsidR="00292882" w:rsidRDefault="00292882" w:rsidP="0033789F">
            <w:pPr>
              <w:pStyle w:val="Subtitle"/>
            </w:pPr>
          </w:p>
          <w:p w14:paraId="3819B1DA" w14:textId="1C03A437"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336EA6F" w14:textId="35CFB0A4" w:rsidR="003272AD" w:rsidRPr="002930B9" w:rsidRDefault="003272AD" w:rsidP="00292882">
          <w:pPr>
            <w:pStyle w:val="TOCHeading"/>
            <w:spacing w:line="480" w:lineRule="auto"/>
            <w:rPr>
              <w:b/>
              <w:bCs/>
              <w:sz w:val="36"/>
              <w:szCs w:val="36"/>
            </w:rPr>
          </w:pPr>
          <w:r w:rsidRPr="002930B9">
            <w:rPr>
              <w:b/>
              <w:bCs/>
              <w:sz w:val="36"/>
              <w:szCs w:val="36"/>
            </w:rPr>
            <w:t>Contents</w:t>
          </w:r>
        </w:p>
        <w:p w14:paraId="708C0AB6" w14:textId="2BF6E742" w:rsidR="00292882" w:rsidRPr="00292882" w:rsidRDefault="003272AD" w:rsidP="00292882">
          <w:pPr>
            <w:pStyle w:val="TOC1"/>
            <w:tabs>
              <w:tab w:val="left" w:pos="440"/>
            </w:tabs>
            <w:spacing w:line="480" w:lineRule="auto"/>
            <w:rPr>
              <w:rFonts w:eastAsiaTheme="minorEastAsia" w:cstheme="minorBidi"/>
              <w:color w:val="auto"/>
              <w:spacing w:val="0"/>
              <w:sz w:val="28"/>
              <w:szCs w:val="28"/>
              <w:lang w:eastAsia="en-GB"/>
            </w:rPr>
          </w:pPr>
          <w:r w:rsidRPr="002930B9">
            <w:rPr>
              <w:sz w:val="28"/>
              <w:szCs w:val="28"/>
            </w:rPr>
            <w:fldChar w:fldCharType="begin"/>
          </w:r>
          <w:r w:rsidRPr="002930B9">
            <w:rPr>
              <w:sz w:val="28"/>
              <w:szCs w:val="28"/>
            </w:rPr>
            <w:instrText xml:space="preserve"> TOC \o "1-3" \h \z \u </w:instrText>
          </w:r>
          <w:r w:rsidRPr="002930B9">
            <w:rPr>
              <w:sz w:val="28"/>
              <w:szCs w:val="28"/>
            </w:rPr>
            <w:fldChar w:fldCharType="separate"/>
          </w:r>
          <w:hyperlink w:anchor="_Toc121813676" w:history="1">
            <w:r w:rsidR="00292882" w:rsidRPr="00292882">
              <w:rPr>
                <w:rStyle w:val="Hyperlink"/>
                <w:sz w:val="28"/>
                <w:szCs w:val="28"/>
              </w:rPr>
              <w:t>1)</w:t>
            </w:r>
            <w:r w:rsidR="00292882" w:rsidRPr="00292882">
              <w:rPr>
                <w:rFonts w:eastAsiaTheme="minorEastAsia" w:cstheme="minorBidi"/>
                <w:color w:val="auto"/>
                <w:spacing w:val="0"/>
                <w:sz w:val="28"/>
                <w:szCs w:val="28"/>
                <w:lang w:eastAsia="en-GB"/>
              </w:rPr>
              <w:tab/>
            </w:r>
            <w:r w:rsidR="00292882" w:rsidRPr="00292882">
              <w:rPr>
                <w:rStyle w:val="Hyperlink"/>
                <w:sz w:val="28"/>
                <w:szCs w:val="28"/>
              </w:rPr>
              <w:t>Introduction</w:t>
            </w:r>
            <w:r w:rsidR="00292882" w:rsidRPr="00292882">
              <w:rPr>
                <w:webHidden/>
                <w:sz w:val="28"/>
                <w:szCs w:val="28"/>
              </w:rPr>
              <w:tab/>
            </w:r>
            <w:r w:rsidR="00292882" w:rsidRPr="00292882">
              <w:rPr>
                <w:webHidden/>
                <w:sz w:val="28"/>
                <w:szCs w:val="28"/>
              </w:rPr>
              <w:fldChar w:fldCharType="begin"/>
            </w:r>
            <w:r w:rsidR="00292882" w:rsidRPr="00292882">
              <w:rPr>
                <w:webHidden/>
                <w:sz w:val="28"/>
                <w:szCs w:val="28"/>
              </w:rPr>
              <w:instrText xml:space="preserve"> PAGEREF _Toc121813676 \h </w:instrText>
            </w:r>
            <w:r w:rsidR="00292882" w:rsidRPr="00292882">
              <w:rPr>
                <w:webHidden/>
                <w:sz w:val="28"/>
                <w:szCs w:val="28"/>
              </w:rPr>
            </w:r>
            <w:r w:rsidR="00292882" w:rsidRPr="00292882">
              <w:rPr>
                <w:webHidden/>
                <w:sz w:val="28"/>
                <w:szCs w:val="28"/>
              </w:rPr>
              <w:fldChar w:fldCharType="separate"/>
            </w:r>
            <w:r w:rsidR="00292882" w:rsidRPr="00292882">
              <w:rPr>
                <w:webHidden/>
                <w:sz w:val="28"/>
                <w:szCs w:val="28"/>
              </w:rPr>
              <w:t>3</w:t>
            </w:r>
            <w:r w:rsidR="00292882" w:rsidRPr="00292882">
              <w:rPr>
                <w:webHidden/>
                <w:sz w:val="28"/>
                <w:szCs w:val="28"/>
              </w:rPr>
              <w:fldChar w:fldCharType="end"/>
            </w:r>
          </w:hyperlink>
        </w:p>
        <w:p w14:paraId="4783ED90" w14:textId="0B9BBABA" w:rsidR="00292882" w:rsidRPr="00292882" w:rsidRDefault="00BD2AC5" w:rsidP="00292882">
          <w:pPr>
            <w:pStyle w:val="TOC1"/>
            <w:tabs>
              <w:tab w:val="left" w:pos="440"/>
            </w:tabs>
            <w:spacing w:line="480" w:lineRule="auto"/>
            <w:rPr>
              <w:rFonts w:eastAsiaTheme="minorEastAsia" w:cstheme="minorBidi"/>
              <w:color w:val="auto"/>
              <w:spacing w:val="0"/>
              <w:sz w:val="28"/>
              <w:szCs w:val="28"/>
              <w:lang w:eastAsia="en-GB"/>
            </w:rPr>
          </w:pPr>
          <w:hyperlink w:anchor="_Toc121813677" w:history="1">
            <w:r w:rsidR="00292882" w:rsidRPr="00292882">
              <w:rPr>
                <w:rStyle w:val="Hyperlink"/>
                <w:sz w:val="28"/>
                <w:szCs w:val="28"/>
              </w:rPr>
              <w:t>2)</w:t>
            </w:r>
            <w:r w:rsidR="00292882" w:rsidRPr="00292882">
              <w:rPr>
                <w:rFonts w:eastAsiaTheme="minorEastAsia" w:cstheme="minorBidi"/>
                <w:color w:val="auto"/>
                <w:spacing w:val="0"/>
                <w:sz w:val="28"/>
                <w:szCs w:val="28"/>
                <w:lang w:eastAsia="en-GB"/>
              </w:rPr>
              <w:tab/>
            </w:r>
            <w:r w:rsidR="00292882" w:rsidRPr="00292882">
              <w:rPr>
                <w:rStyle w:val="Hyperlink"/>
                <w:sz w:val="28"/>
                <w:szCs w:val="28"/>
              </w:rPr>
              <w:t>Gas Demand Types</w:t>
            </w:r>
            <w:r w:rsidR="00292882" w:rsidRPr="00292882">
              <w:rPr>
                <w:webHidden/>
                <w:sz w:val="28"/>
                <w:szCs w:val="28"/>
              </w:rPr>
              <w:tab/>
            </w:r>
            <w:r w:rsidR="00292882" w:rsidRPr="00292882">
              <w:rPr>
                <w:webHidden/>
                <w:sz w:val="28"/>
                <w:szCs w:val="28"/>
              </w:rPr>
              <w:fldChar w:fldCharType="begin"/>
            </w:r>
            <w:r w:rsidR="00292882" w:rsidRPr="00292882">
              <w:rPr>
                <w:webHidden/>
                <w:sz w:val="28"/>
                <w:szCs w:val="28"/>
              </w:rPr>
              <w:instrText xml:space="preserve"> PAGEREF _Toc121813677 \h </w:instrText>
            </w:r>
            <w:r w:rsidR="00292882" w:rsidRPr="00292882">
              <w:rPr>
                <w:webHidden/>
                <w:sz w:val="28"/>
                <w:szCs w:val="28"/>
              </w:rPr>
            </w:r>
            <w:r w:rsidR="00292882" w:rsidRPr="00292882">
              <w:rPr>
                <w:webHidden/>
                <w:sz w:val="28"/>
                <w:szCs w:val="28"/>
              </w:rPr>
              <w:fldChar w:fldCharType="separate"/>
            </w:r>
            <w:r w:rsidR="00292882" w:rsidRPr="00292882">
              <w:rPr>
                <w:webHidden/>
                <w:sz w:val="28"/>
                <w:szCs w:val="28"/>
              </w:rPr>
              <w:t>3</w:t>
            </w:r>
            <w:r w:rsidR="00292882" w:rsidRPr="00292882">
              <w:rPr>
                <w:webHidden/>
                <w:sz w:val="28"/>
                <w:szCs w:val="28"/>
              </w:rPr>
              <w:fldChar w:fldCharType="end"/>
            </w:r>
          </w:hyperlink>
        </w:p>
        <w:p w14:paraId="2B3D9A7C" w14:textId="4C643CC3" w:rsidR="00292882" w:rsidRPr="00A1046C" w:rsidRDefault="00BD2AC5" w:rsidP="00A1046C">
          <w:pPr>
            <w:pStyle w:val="TOC2"/>
            <w:rPr>
              <w:rFonts w:eastAsiaTheme="minorEastAsia" w:cstheme="minorBidi"/>
              <w:b w:val="0"/>
              <w:bCs w:val="0"/>
              <w:color w:val="auto"/>
              <w:spacing w:val="0"/>
              <w:lang w:eastAsia="en-GB"/>
            </w:rPr>
          </w:pPr>
          <w:hyperlink w:anchor="_Toc121813678" w:history="1">
            <w:r w:rsidR="00292882" w:rsidRPr="00A1046C">
              <w:rPr>
                <w:rStyle w:val="Hyperlink"/>
                <w:b w:val="0"/>
                <w:bCs w:val="0"/>
              </w:rPr>
              <w:t>2.1) Standard Domestic Modulating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_Toc121813678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4</w:t>
            </w:r>
            <w:r w:rsidR="00292882" w:rsidRPr="00A1046C">
              <w:rPr>
                <w:b w:val="0"/>
                <w:bCs w:val="0"/>
                <w:webHidden/>
              </w:rPr>
              <w:fldChar w:fldCharType="end"/>
            </w:r>
          </w:hyperlink>
        </w:p>
        <w:p w14:paraId="755C5379" w14:textId="7084A727" w:rsidR="00292882" w:rsidRPr="00A1046C" w:rsidRDefault="00BD2AC5" w:rsidP="00A1046C">
          <w:pPr>
            <w:pStyle w:val="TOC2"/>
            <w:rPr>
              <w:rFonts w:eastAsiaTheme="minorEastAsia" w:cstheme="minorBidi"/>
              <w:b w:val="0"/>
              <w:bCs w:val="0"/>
              <w:color w:val="auto"/>
              <w:spacing w:val="0"/>
              <w:lang w:eastAsia="en-GB"/>
            </w:rPr>
          </w:pPr>
          <w:hyperlink w:anchor="_Toc121813679" w:history="1">
            <w:r w:rsidR="00292882" w:rsidRPr="00A1046C">
              <w:rPr>
                <w:rStyle w:val="Hyperlink"/>
                <w:b w:val="0"/>
                <w:bCs w:val="0"/>
              </w:rPr>
              <w:t>2.2) Standard Commercial Modulating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_Toc121813679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4</w:t>
            </w:r>
            <w:r w:rsidR="00292882" w:rsidRPr="00A1046C">
              <w:rPr>
                <w:b w:val="0"/>
                <w:bCs w:val="0"/>
                <w:webHidden/>
              </w:rPr>
              <w:fldChar w:fldCharType="end"/>
            </w:r>
          </w:hyperlink>
        </w:p>
        <w:p w14:paraId="71FB2D49" w14:textId="34C78DDF" w:rsidR="00292882" w:rsidRPr="00A1046C" w:rsidRDefault="00BD2AC5" w:rsidP="00A1046C">
          <w:pPr>
            <w:pStyle w:val="TOC2"/>
            <w:rPr>
              <w:rFonts w:eastAsiaTheme="minorEastAsia" w:cstheme="minorBidi"/>
              <w:b w:val="0"/>
              <w:bCs w:val="0"/>
              <w:color w:val="auto"/>
              <w:spacing w:val="0"/>
              <w:lang w:eastAsia="en-GB"/>
            </w:rPr>
          </w:pPr>
          <w:hyperlink w:anchor="_Toc121813680" w:history="1">
            <w:r w:rsidR="00292882" w:rsidRPr="00A1046C">
              <w:rPr>
                <w:rStyle w:val="Hyperlink"/>
                <w:b w:val="0"/>
                <w:bCs w:val="0"/>
              </w:rPr>
              <w:t>2.3) Non-Typical Gas Demand Types</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_Toc121813680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4</w:t>
            </w:r>
            <w:r w:rsidR="00292882" w:rsidRPr="00A1046C">
              <w:rPr>
                <w:b w:val="0"/>
                <w:bCs w:val="0"/>
                <w:webHidden/>
              </w:rPr>
              <w:fldChar w:fldCharType="end"/>
            </w:r>
          </w:hyperlink>
        </w:p>
        <w:p w14:paraId="4C052BC0" w14:textId="47399A4E" w:rsidR="00292882" w:rsidRPr="00A1046C" w:rsidRDefault="00BD2AC5" w:rsidP="00A1046C">
          <w:pPr>
            <w:pStyle w:val="TOC2"/>
            <w:rPr>
              <w:rFonts w:eastAsiaTheme="minorEastAsia" w:cstheme="minorBidi"/>
              <w:b w:val="0"/>
              <w:bCs w:val="0"/>
              <w:color w:val="auto"/>
              <w:spacing w:val="0"/>
              <w:lang w:eastAsia="en-GB"/>
            </w:rPr>
          </w:pPr>
          <w:hyperlink w:anchor="_Toc121813681" w:history="1">
            <w:r w:rsidR="00292882" w:rsidRPr="00A1046C">
              <w:rPr>
                <w:rStyle w:val="Hyperlink"/>
                <w:b w:val="0"/>
                <w:bCs w:val="0"/>
              </w:rPr>
              <w:t>2.4) Process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_Toc121813681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5</w:t>
            </w:r>
            <w:r w:rsidR="00292882" w:rsidRPr="00A1046C">
              <w:rPr>
                <w:b w:val="0"/>
                <w:bCs w:val="0"/>
                <w:webHidden/>
              </w:rPr>
              <w:fldChar w:fldCharType="end"/>
            </w:r>
          </w:hyperlink>
        </w:p>
        <w:p w14:paraId="7D6C43AE" w14:textId="02BB0EBF" w:rsidR="00292882" w:rsidRPr="00A1046C" w:rsidRDefault="00BD2AC5" w:rsidP="00A1046C">
          <w:pPr>
            <w:pStyle w:val="TOC2"/>
            <w:rPr>
              <w:rFonts w:eastAsiaTheme="minorEastAsia" w:cstheme="minorBidi"/>
              <w:b w:val="0"/>
              <w:bCs w:val="0"/>
              <w:color w:val="auto"/>
              <w:spacing w:val="0"/>
              <w:lang w:eastAsia="en-GB"/>
            </w:rPr>
          </w:pPr>
          <w:hyperlink w:anchor="_Toc121813682" w:history="1">
            <w:r w:rsidR="00292882" w:rsidRPr="00A1046C">
              <w:rPr>
                <w:rStyle w:val="Hyperlink"/>
                <w:b w:val="0"/>
                <w:bCs w:val="0"/>
              </w:rPr>
              <w:t>2.5) Constant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_Toc121813682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5</w:t>
            </w:r>
            <w:r w:rsidR="00292882" w:rsidRPr="00A1046C">
              <w:rPr>
                <w:b w:val="0"/>
                <w:bCs w:val="0"/>
                <w:webHidden/>
              </w:rPr>
              <w:fldChar w:fldCharType="end"/>
            </w:r>
          </w:hyperlink>
        </w:p>
        <w:p w14:paraId="3D6D6FBC" w14:textId="0BEE516E" w:rsidR="00292882" w:rsidRPr="00A1046C" w:rsidRDefault="00BD2AC5" w:rsidP="00A1046C">
          <w:pPr>
            <w:pStyle w:val="TOC2"/>
            <w:rPr>
              <w:rFonts w:eastAsiaTheme="minorEastAsia" w:cstheme="minorBidi"/>
              <w:b w:val="0"/>
              <w:bCs w:val="0"/>
              <w:color w:val="auto"/>
              <w:spacing w:val="0"/>
              <w:lang w:eastAsia="en-GB"/>
            </w:rPr>
          </w:pPr>
          <w:hyperlink w:anchor="_Toc121813683" w:history="1">
            <w:r w:rsidR="00292882" w:rsidRPr="00A1046C">
              <w:rPr>
                <w:rStyle w:val="Hyperlink"/>
                <w:b w:val="0"/>
                <w:bCs w:val="0"/>
              </w:rPr>
              <w:t>2.6) On-Off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_Toc121813683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6</w:t>
            </w:r>
            <w:r w:rsidR="00292882" w:rsidRPr="00A1046C">
              <w:rPr>
                <w:b w:val="0"/>
                <w:bCs w:val="0"/>
                <w:webHidden/>
              </w:rPr>
              <w:fldChar w:fldCharType="end"/>
            </w:r>
          </w:hyperlink>
        </w:p>
        <w:p w14:paraId="2A644D26" w14:textId="1D06D553" w:rsidR="00292882" w:rsidRPr="00A1046C" w:rsidRDefault="00BD2AC5" w:rsidP="00A1046C">
          <w:pPr>
            <w:pStyle w:val="TOC2"/>
            <w:rPr>
              <w:rFonts w:eastAsiaTheme="minorEastAsia" w:cstheme="minorBidi"/>
              <w:b w:val="0"/>
              <w:bCs w:val="0"/>
              <w:color w:val="auto"/>
              <w:spacing w:val="0"/>
              <w:lang w:eastAsia="en-GB"/>
            </w:rPr>
          </w:pPr>
          <w:hyperlink w:anchor="_Toc121813684" w:history="1">
            <w:r w:rsidR="00292882" w:rsidRPr="00A1046C">
              <w:rPr>
                <w:rStyle w:val="Hyperlink"/>
                <w:b w:val="0"/>
                <w:bCs w:val="0"/>
              </w:rPr>
              <w:t>2.7) Power Generation or Short Term Operating Reserve (STOR)</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_Toc121813684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6</w:t>
            </w:r>
            <w:r w:rsidR="00292882" w:rsidRPr="00A1046C">
              <w:rPr>
                <w:b w:val="0"/>
                <w:bCs w:val="0"/>
                <w:webHidden/>
              </w:rPr>
              <w:fldChar w:fldCharType="end"/>
            </w:r>
          </w:hyperlink>
        </w:p>
        <w:p w14:paraId="64F07A14" w14:textId="50447753" w:rsidR="00292882" w:rsidRPr="00A1046C" w:rsidRDefault="00BD2AC5" w:rsidP="00A1046C">
          <w:pPr>
            <w:pStyle w:val="TOC2"/>
            <w:rPr>
              <w:rFonts w:eastAsiaTheme="minorEastAsia" w:cstheme="minorBidi"/>
              <w:b w:val="0"/>
              <w:bCs w:val="0"/>
              <w:color w:val="auto"/>
              <w:spacing w:val="0"/>
              <w:lang w:eastAsia="en-GB"/>
            </w:rPr>
          </w:pPr>
          <w:hyperlink w:anchor="_Toc121813685" w:history="1">
            <w:r w:rsidR="00292882" w:rsidRPr="00A1046C">
              <w:rPr>
                <w:rStyle w:val="Hyperlink"/>
                <w:b w:val="0"/>
                <w:bCs w:val="0"/>
              </w:rPr>
              <w:t>2.8) Combined [Cooling] Heat and Power (CHP / CCHP)</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_Toc121813685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6</w:t>
            </w:r>
            <w:r w:rsidR="00292882" w:rsidRPr="00A1046C">
              <w:rPr>
                <w:b w:val="0"/>
                <w:bCs w:val="0"/>
                <w:webHidden/>
              </w:rPr>
              <w:fldChar w:fldCharType="end"/>
            </w:r>
          </w:hyperlink>
        </w:p>
        <w:p w14:paraId="788831D8" w14:textId="205C0047" w:rsidR="00292882" w:rsidRPr="00A1046C" w:rsidRDefault="00BD2AC5" w:rsidP="00A1046C">
          <w:pPr>
            <w:pStyle w:val="TOC2"/>
            <w:rPr>
              <w:rFonts w:eastAsiaTheme="minorEastAsia" w:cstheme="minorBidi"/>
              <w:b w:val="0"/>
              <w:bCs w:val="0"/>
              <w:color w:val="auto"/>
              <w:spacing w:val="0"/>
              <w:lang w:eastAsia="en-GB"/>
            </w:rPr>
          </w:pPr>
          <w:hyperlink w:anchor="_Toc121813686" w:history="1">
            <w:r w:rsidR="00292882" w:rsidRPr="00A1046C">
              <w:rPr>
                <w:rStyle w:val="Hyperlink"/>
                <w:b w:val="0"/>
                <w:bCs w:val="0"/>
              </w:rPr>
              <w:t>2.9) Compressed / Boosted Flow</w:t>
            </w:r>
            <w:r w:rsidR="00292882" w:rsidRPr="00A1046C">
              <w:rPr>
                <w:b w:val="0"/>
                <w:bCs w:val="0"/>
                <w:webHidden/>
              </w:rPr>
              <w:tab/>
            </w:r>
            <w:r w:rsidR="00292882" w:rsidRPr="00A1046C">
              <w:rPr>
                <w:b w:val="0"/>
                <w:bCs w:val="0"/>
                <w:webHidden/>
              </w:rPr>
              <w:fldChar w:fldCharType="begin"/>
            </w:r>
            <w:r w:rsidR="00292882" w:rsidRPr="00A1046C">
              <w:rPr>
                <w:b w:val="0"/>
                <w:bCs w:val="0"/>
                <w:webHidden/>
              </w:rPr>
              <w:instrText xml:space="preserve"> PAGEREF _Toc121813686 \h </w:instrText>
            </w:r>
            <w:r w:rsidR="00292882" w:rsidRPr="00A1046C">
              <w:rPr>
                <w:b w:val="0"/>
                <w:bCs w:val="0"/>
                <w:webHidden/>
              </w:rPr>
            </w:r>
            <w:r w:rsidR="00292882" w:rsidRPr="00A1046C">
              <w:rPr>
                <w:b w:val="0"/>
                <w:bCs w:val="0"/>
                <w:webHidden/>
              </w:rPr>
              <w:fldChar w:fldCharType="separate"/>
            </w:r>
            <w:r w:rsidR="00292882" w:rsidRPr="00A1046C">
              <w:rPr>
                <w:b w:val="0"/>
                <w:bCs w:val="0"/>
                <w:webHidden/>
              </w:rPr>
              <w:t>7</w:t>
            </w:r>
            <w:r w:rsidR="00292882" w:rsidRPr="00A1046C">
              <w:rPr>
                <w:b w:val="0"/>
                <w:bCs w:val="0"/>
                <w:webHidden/>
              </w:rPr>
              <w:fldChar w:fldCharType="end"/>
            </w:r>
          </w:hyperlink>
        </w:p>
        <w:p w14:paraId="1BED30D8" w14:textId="7D47043F" w:rsidR="00292882" w:rsidRPr="00292882" w:rsidRDefault="00BD2AC5" w:rsidP="00292882">
          <w:pPr>
            <w:pStyle w:val="TOC1"/>
            <w:tabs>
              <w:tab w:val="left" w:pos="440"/>
            </w:tabs>
            <w:spacing w:line="480" w:lineRule="auto"/>
            <w:rPr>
              <w:rFonts w:eastAsiaTheme="minorEastAsia" w:cstheme="minorBidi"/>
              <w:color w:val="auto"/>
              <w:spacing w:val="0"/>
              <w:sz w:val="28"/>
              <w:szCs w:val="28"/>
              <w:lang w:eastAsia="en-GB"/>
            </w:rPr>
          </w:pPr>
          <w:hyperlink w:anchor="_Toc121813687" w:history="1">
            <w:r w:rsidR="00292882" w:rsidRPr="00292882">
              <w:rPr>
                <w:rStyle w:val="Hyperlink"/>
                <w:sz w:val="28"/>
                <w:szCs w:val="28"/>
              </w:rPr>
              <w:t>3)</w:t>
            </w:r>
            <w:r w:rsidR="00292882" w:rsidRPr="00292882">
              <w:rPr>
                <w:rFonts w:eastAsiaTheme="minorEastAsia" w:cstheme="minorBidi"/>
                <w:color w:val="auto"/>
                <w:spacing w:val="0"/>
                <w:sz w:val="28"/>
                <w:szCs w:val="28"/>
                <w:lang w:eastAsia="en-GB"/>
              </w:rPr>
              <w:tab/>
            </w:r>
            <w:r w:rsidR="00292882" w:rsidRPr="00292882">
              <w:rPr>
                <w:rStyle w:val="Hyperlink"/>
                <w:sz w:val="28"/>
                <w:szCs w:val="28"/>
              </w:rPr>
              <w:t>Customer Requirements</w:t>
            </w:r>
            <w:r w:rsidR="00292882" w:rsidRPr="00292882">
              <w:rPr>
                <w:webHidden/>
                <w:sz w:val="28"/>
                <w:szCs w:val="28"/>
              </w:rPr>
              <w:tab/>
            </w:r>
            <w:r w:rsidR="00292882" w:rsidRPr="00292882">
              <w:rPr>
                <w:webHidden/>
                <w:sz w:val="28"/>
                <w:szCs w:val="28"/>
              </w:rPr>
              <w:fldChar w:fldCharType="begin"/>
            </w:r>
            <w:r w:rsidR="00292882" w:rsidRPr="00292882">
              <w:rPr>
                <w:webHidden/>
                <w:sz w:val="28"/>
                <w:szCs w:val="28"/>
              </w:rPr>
              <w:instrText xml:space="preserve"> PAGEREF _Toc121813687 \h </w:instrText>
            </w:r>
            <w:r w:rsidR="00292882" w:rsidRPr="00292882">
              <w:rPr>
                <w:webHidden/>
                <w:sz w:val="28"/>
                <w:szCs w:val="28"/>
              </w:rPr>
            </w:r>
            <w:r w:rsidR="00292882" w:rsidRPr="00292882">
              <w:rPr>
                <w:webHidden/>
                <w:sz w:val="28"/>
                <w:szCs w:val="28"/>
              </w:rPr>
              <w:fldChar w:fldCharType="separate"/>
            </w:r>
            <w:r w:rsidR="00292882" w:rsidRPr="00292882">
              <w:rPr>
                <w:webHidden/>
                <w:sz w:val="28"/>
                <w:szCs w:val="28"/>
              </w:rPr>
              <w:t>7</w:t>
            </w:r>
            <w:r w:rsidR="00292882" w:rsidRPr="00292882">
              <w:rPr>
                <w:webHidden/>
                <w:sz w:val="28"/>
                <w:szCs w:val="28"/>
              </w:rPr>
              <w:fldChar w:fldCharType="end"/>
            </w:r>
          </w:hyperlink>
        </w:p>
        <w:p w14:paraId="75778E3B" w14:textId="36AA4964" w:rsidR="00292882" w:rsidRPr="00292882" w:rsidRDefault="00BD2AC5" w:rsidP="00292882">
          <w:pPr>
            <w:pStyle w:val="TOC1"/>
            <w:tabs>
              <w:tab w:val="left" w:pos="440"/>
            </w:tabs>
            <w:spacing w:line="480" w:lineRule="auto"/>
            <w:rPr>
              <w:rFonts w:eastAsiaTheme="minorEastAsia" w:cstheme="minorBidi"/>
              <w:color w:val="auto"/>
              <w:spacing w:val="0"/>
              <w:sz w:val="28"/>
              <w:szCs w:val="28"/>
              <w:lang w:eastAsia="en-GB"/>
            </w:rPr>
          </w:pPr>
          <w:hyperlink w:anchor="_Toc121813688" w:history="1">
            <w:r w:rsidR="00292882" w:rsidRPr="00292882">
              <w:rPr>
                <w:rStyle w:val="Hyperlink"/>
                <w:sz w:val="28"/>
                <w:szCs w:val="28"/>
              </w:rPr>
              <w:t>4)</w:t>
            </w:r>
            <w:r w:rsidR="00292882" w:rsidRPr="00292882">
              <w:rPr>
                <w:rFonts w:eastAsiaTheme="minorEastAsia" w:cstheme="minorBidi"/>
                <w:color w:val="auto"/>
                <w:spacing w:val="0"/>
                <w:sz w:val="28"/>
                <w:szCs w:val="28"/>
                <w:lang w:eastAsia="en-GB"/>
              </w:rPr>
              <w:tab/>
            </w:r>
            <w:r w:rsidR="00292882" w:rsidRPr="00292882">
              <w:rPr>
                <w:rStyle w:val="Hyperlink"/>
                <w:sz w:val="28"/>
                <w:szCs w:val="28"/>
              </w:rPr>
              <w:t>Entry and Exit Agreement and ARCAs</w:t>
            </w:r>
            <w:r w:rsidR="00292882" w:rsidRPr="00292882">
              <w:rPr>
                <w:webHidden/>
                <w:sz w:val="28"/>
                <w:szCs w:val="28"/>
              </w:rPr>
              <w:tab/>
            </w:r>
            <w:r w:rsidR="00292882" w:rsidRPr="00292882">
              <w:rPr>
                <w:webHidden/>
                <w:sz w:val="28"/>
                <w:szCs w:val="28"/>
              </w:rPr>
              <w:fldChar w:fldCharType="begin"/>
            </w:r>
            <w:r w:rsidR="00292882" w:rsidRPr="00292882">
              <w:rPr>
                <w:webHidden/>
                <w:sz w:val="28"/>
                <w:szCs w:val="28"/>
              </w:rPr>
              <w:instrText xml:space="preserve"> PAGEREF _Toc121813688 \h </w:instrText>
            </w:r>
            <w:r w:rsidR="00292882" w:rsidRPr="00292882">
              <w:rPr>
                <w:webHidden/>
                <w:sz w:val="28"/>
                <w:szCs w:val="28"/>
              </w:rPr>
            </w:r>
            <w:r w:rsidR="00292882" w:rsidRPr="00292882">
              <w:rPr>
                <w:webHidden/>
                <w:sz w:val="28"/>
                <w:szCs w:val="28"/>
              </w:rPr>
              <w:fldChar w:fldCharType="separate"/>
            </w:r>
            <w:r w:rsidR="00292882" w:rsidRPr="00292882">
              <w:rPr>
                <w:webHidden/>
                <w:sz w:val="28"/>
                <w:szCs w:val="28"/>
              </w:rPr>
              <w:t>7</w:t>
            </w:r>
            <w:r w:rsidR="00292882" w:rsidRPr="00292882">
              <w:rPr>
                <w:webHidden/>
                <w:sz w:val="28"/>
                <w:szCs w:val="28"/>
              </w:rPr>
              <w:fldChar w:fldCharType="end"/>
            </w:r>
          </w:hyperlink>
        </w:p>
        <w:p w14:paraId="06985D61" w14:textId="03F61587" w:rsidR="00292882" w:rsidRDefault="00BD2AC5" w:rsidP="00292882">
          <w:pPr>
            <w:pStyle w:val="TOC1"/>
            <w:tabs>
              <w:tab w:val="left" w:pos="440"/>
            </w:tabs>
            <w:spacing w:line="480" w:lineRule="auto"/>
            <w:rPr>
              <w:rFonts w:eastAsiaTheme="minorEastAsia" w:cstheme="minorBidi"/>
              <w:color w:val="auto"/>
              <w:spacing w:val="0"/>
              <w:sz w:val="22"/>
              <w:szCs w:val="22"/>
              <w:lang w:eastAsia="en-GB"/>
            </w:rPr>
          </w:pPr>
          <w:hyperlink w:anchor="_Toc121813689" w:history="1">
            <w:r w:rsidR="00292882" w:rsidRPr="00292882">
              <w:rPr>
                <w:rStyle w:val="Hyperlink"/>
                <w:sz w:val="28"/>
                <w:szCs w:val="28"/>
              </w:rPr>
              <w:t>5)</w:t>
            </w:r>
            <w:r w:rsidR="00292882" w:rsidRPr="00292882">
              <w:rPr>
                <w:rFonts w:eastAsiaTheme="minorEastAsia" w:cstheme="minorBidi"/>
                <w:color w:val="auto"/>
                <w:spacing w:val="0"/>
                <w:sz w:val="28"/>
                <w:szCs w:val="28"/>
                <w:lang w:eastAsia="en-GB"/>
              </w:rPr>
              <w:tab/>
            </w:r>
            <w:r w:rsidR="00292882" w:rsidRPr="00292882">
              <w:rPr>
                <w:rStyle w:val="Hyperlink"/>
                <w:sz w:val="28"/>
                <w:szCs w:val="28"/>
              </w:rPr>
              <w:t>Milestone Document</w:t>
            </w:r>
            <w:r w:rsidR="00292882" w:rsidRPr="00292882">
              <w:rPr>
                <w:webHidden/>
                <w:sz w:val="28"/>
                <w:szCs w:val="28"/>
              </w:rPr>
              <w:tab/>
            </w:r>
            <w:r w:rsidR="00292882" w:rsidRPr="00292882">
              <w:rPr>
                <w:webHidden/>
                <w:sz w:val="28"/>
                <w:szCs w:val="28"/>
              </w:rPr>
              <w:fldChar w:fldCharType="begin"/>
            </w:r>
            <w:r w:rsidR="00292882" w:rsidRPr="00292882">
              <w:rPr>
                <w:webHidden/>
                <w:sz w:val="28"/>
                <w:szCs w:val="28"/>
              </w:rPr>
              <w:instrText xml:space="preserve"> PAGEREF _Toc121813689 \h </w:instrText>
            </w:r>
            <w:r w:rsidR="00292882" w:rsidRPr="00292882">
              <w:rPr>
                <w:webHidden/>
                <w:sz w:val="28"/>
                <w:szCs w:val="28"/>
              </w:rPr>
            </w:r>
            <w:r w:rsidR="00292882" w:rsidRPr="00292882">
              <w:rPr>
                <w:webHidden/>
                <w:sz w:val="28"/>
                <w:szCs w:val="28"/>
              </w:rPr>
              <w:fldChar w:fldCharType="separate"/>
            </w:r>
            <w:r w:rsidR="00292882" w:rsidRPr="00292882">
              <w:rPr>
                <w:webHidden/>
                <w:sz w:val="28"/>
                <w:szCs w:val="28"/>
              </w:rPr>
              <w:t>8</w:t>
            </w:r>
            <w:r w:rsidR="00292882" w:rsidRPr="00292882">
              <w:rPr>
                <w:webHidden/>
                <w:sz w:val="28"/>
                <w:szCs w:val="28"/>
              </w:rPr>
              <w:fldChar w:fldCharType="end"/>
            </w:r>
          </w:hyperlink>
        </w:p>
        <w:p w14:paraId="5CCC777E" w14:textId="1E43141A" w:rsidR="003272AD" w:rsidRPr="002930B9" w:rsidRDefault="003272AD" w:rsidP="00292882">
          <w:pPr>
            <w:spacing w:line="480" w:lineRule="auto"/>
            <w:rPr>
              <w:sz w:val="28"/>
              <w:szCs w:val="28"/>
            </w:rPr>
          </w:pPr>
          <w:r w:rsidRPr="002930B9">
            <w:rPr>
              <w:b/>
              <w:bCs/>
              <w:noProof/>
              <w:sz w:val="28"/>
              <w:szCs w:val="28"/>
            </w:rPr>
            <w:fldChar w:fldCharType="end"/>
          </w:r>
        </w:p>
      </w:sdtContent>
    </w:sdt>
    <w:p w14:paraId="5391D85C" w14:textId="77777777" w:rsidR="003234D7" w:rsidRDefault="003234D7" w:rsidP="001B0813">
      <w:pPr>
        <w:rPr>
          <w:noProof/>
          <w:color w:val="5E6A71"/>
          <w:sz w:val="24"/>
          <w:szCs w:val="24"/>
        </w:rPr>
      </w:pPr>
    </w:p>
    <w:p w14:paraId="58DBB30F" w14:textId="77777777" w:rsidR="00E631E3" w:rsidRPr="00E631E3" w:rsidRDefault="00E631E3" w:rsidP="00E631E3"/>
    <w:p w14:paraId="30D1157D"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663133">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53BB32C1" w14:textId="77777777" w:rsidR="00292882" w:rsidRDefault="00292882" w:rsidP="00292882">
      <w:pPr>
        <w:pStyle w:val="BNParagraph1"/>
      </w:pPr>
      <w:bookmarkStart w:id="1" w:name="_Toc115774475"/>
      <w:bookmarkStart w:id="2" w:name="_Toc121750364"/>
    </w:p>
    <w:p w14:paraId="61076242" w14:textId="316390EA" w:rsidR="00584393" w:rsidRDefault="00584393" w:rsidP="00663133">
      <w:pPr>
        <w:pStyle w:val="BNHeading1"/>
      </w:pPr>
      <w:bookmarkStart w:id="3" w:name="_Toc121813676"/>
      <w:r>
        <w:t>I</w:t>
      </w:r>
      <w:r w:rsidRPr="00E370FC">
        <w:t>ntroduction</w:t>
      </w:r>
      <w:bookmarkEnd w:id="1"/>
      <w:bookmarkEnd w:id="2"/>
      <w:bookmarkEnd w:id="3"/>
    </w:p>
    <w:p w14:paraId="700AFFB4" w14:textId="77777777" w:rsidR="00663133" w:rsidRDefault="00663133" w:rsidP="00292882">
      <w:pPr>
        <w:pStyle w:val="BNParagraph1"/>
      </w:pPr>
      <w:r w:rsidRPr="003E3BC0">
        <w:t xml:space="preserve">To ensure a safe and secure gas supply is maintained, Wales &amp; West Utilities (WWU) </w:t>
      </w:r>
      <w:r>
        <w:t>must</w:t>
      </w:r>
      <w:r w:rsidRPr="003E3BC0">
        <w:t xml:space="preserve"> assess new gas demands based on the anticipated profiles they will follow. Where gas usage is predictable, WWU can effectively forecast peak and off-peak gas usage to efficiently manage WWUs Gas Distribution Network.</w:t>
      </w:r>
    </w:p>
    <w:p w14:paraId="710086A3" w14:textId="693D988C" w:rsidR="00663133" w:rsidRPr="00E31A05" w:rsidRDefault="00663133" w:rsidP="00663133">
      <w:pPr>
        <w:pStyle w:val="BNHeading1"/>
      </w:pPr>
      <w:bookmarkStart w:id="4" w:name="_Toc112838101"/>
      <w:bookmarkStart w:id="5" w:name="_Toc121813677"/>
      <w:r>
        <w:t>Gas Demand Types</w:t>
      </w:r>
      <w:bookmarkEnd w:id="4"/>
      <w:bookmarkEnd w:id="5"/>
    </w:p>
    <w:p w14:paraId="3C3A0AEF" w14:textId="77777777" w:rsidR="00663133" w:rsidRPr="006E1F06" w:rsidRDefault="00663133" w:rsidP="00292882">
      <w:pPr>
        <w:pStyle w:val="BNParagraph1"/>
      </w:pPr>
      <w:r w:rsidRPr="006E1F06">
        <w:t xml:space="preserve">To better manage WWUs Network, new and existing gas loads are categorised into </w:t>
      </w:r>
      <w:r>
        <w:t>t</w:t>
      </w:r>
      <w:r w:rsidRPr="006E1F06">
        <w:t xml:space="preserve">ypical and </w:t>
      </w:r>
      <w:r>
        <w:t>Non-Typical</w:t>
      </w:r>
      <w:r w:rsidRPr="006E1F06">
        <w:t xml:space="preserve"> flows, which dictate different minimum information requirements from third parties as well as identifying the requirement for </w:t>
      </w:r>
      <w:r>
        <w:t>Non-Typical</w:t>
      </w:r>
      <w:r w:rsidRPr="006E1F06">
        <w:t xml:space="preserve"> Network Analysis.</w:t>
      </w:r>
    </w:p>
    <w:p w14:paraId="19C24612" w14:textId="77777777" w:rsidR="00663133" w:rsidRPr="006E1F06" w:rsidRDefault="00663133" w:rsidP="00292882">
      <w:pPr>
        <w:pStyle w:val="BNParagraph1"/>
        <w:spacing w:before="120"/>
      </w:pPr>
      <w:r w:rsidRPr="006E1F06">
        <w:t xml:space="preserve">Typical gas usage is defined as temperature-sensitive for space heating or following a modulating predictable pattern only during peak times of the day. Standard Domestic customers with gas-fired heating and hot water and also Standard Commercial supplies using gas in a modulating fashion and not feeding Combined Heat and Power (CHP) units are considered </w:t>
      </w:r>
      <w:r>
        <w:t>t</w:t>
      </w:r>
      <w:r w:rsidRPr="006E1F06">
        <w:t>ypical as Demands.</w:t>
      </w:r>
    </w:p>
    <w:p w14:paraId="4D06F2CF" w14:textId="77777777" w:rsidR="00663133" w:rsidRDefault="00663133" w:rsidP="00292882">
      <w:pPr>
        <w:pStyle w:val="BNParagraph1"/>
        <w:spacing w:before="120"/>
      </w:pPr>
      <w:r w:rsidRPr="006E1F06">
        <w:t xml:space="preserve">Commercial and Industrial flow patterns are difficult to predict and don’t follow a </w:t>
      </w:r>
      <w:r>
        <w:t>t</w:t>
      </w:r>
      <w:r w:rsidRPr="006E1F06">
        <w:t xml:space="preserve">ypical profile and are therefore considered </w:t>
      </w:r>
      <w:r>
        <w:t>Non-Typical</w:t>
      </w:r>
      <w:r w:rsidRPr="006E1F06">
        <w:t xml:space="preserve">. </w:t>
      </w:r>
    </w:p>
    <w:p w14:paraId="1E9DD9F9" w14:textId="4A687EF0" w:rsidR="00663133" w:rsidRDefault="00663133" w:rsidP="00292882">
      <w:pPr>
        <w:pStyle w:val="BNParagraph1"/>
        <w:spacing w:before="120"/>
      </w:pPr>
      <w:r w:rsidRPr="006E1F06">
        <w:t xml:space="preserve">Domestic Customers that utilise a CHP unit outside the remit of a </w:t>
      </w:r>
      <w:r>
        <w:t>t</w:t>
      </w:r>
      <w:r w:rsidRPr="006E1F06">
        <w:t xml:space="preserve">ypical modulating pattern and are considered </w:t>
      </w:r>
      <w:r>
        <w:t>Non-Typical</w:t>
      </w:r>
      <w:r w:rsidRPr="006E1F06">
        <w:t>.</w:t>
      </w:r>
    </w:p>
    <w:p w14:paraId="25DA8798" w14:textId="754AB1F6" w:rsidR="00663133" w:rsidRDefault="00663133" w:rsidP="00292882">
      <w:pPr>
        <w:pStyle w:val="BNParagraph1"/>
      </w:pPr>
    </w:p>
    <w:p w14:paraId="4D9A1F1B" w14:textId="77777777" w:rsidR="00292882" w:rsidRDefault="00292882" w:rsidP="00292882">
      <w:pPr>
        <w:pStyle w:val="BNParagraph1"/>
      </w:pPr>
    </w:p>
    <w:p w14:paraId="5CFEDB7D" w14:textId="24CA2A5B" w:rsidR="00663133" w:rsidRDefault="00663133" w:rsidP="00292882">
      <w:pPr>
        <w:pStyle w:val="BNParagraph1"/>
      </w:pPr>
    </w:p>
    <w:p w14:paraId="7AC79DED" w14:textId="77777777" w:rsidR="00292882" w:rsidRPr="006E1F06" w:rsidRDefault="00292882" w:rsidP="00292882">
      <w:pPr>
        <w:pStyle w:val="BNParagraph1"/>
      </w:pPr>
    </w:p>
    <w:p w14:paraId="7427C5F2" w14:textId="77777777" w:rsidR="00663133" w:rsidRDefault="00663133" w:rsidP="00663133">
      <w:pPr>
        <w:pStyle w:val="BNHeading2"/>
      </w:pPr>
      <w:bookmarkStart w:id="6" w:name="_Toc112838102"/>
      <w:bookmarkStart w:id="7" w:name="_Toc121813678"/>
      <w:r>
        <w:t>2.1) Standard Domestic Modulating Flow</w:t>
      </w:r>
      <w:bookmarkEnd w:id="6"/>
      <w:bookmarkEnd w:id="7"/>
    </w:p>
    <w:p w14:paraId="34E1BDAA" w14:textId="554932D7" w:rsidR="00663133" w:rsidRDefault="00663133" w:rsidP="00292882">
      <w:pPr>
        <w:pStyle w:val="BNParagraph1"/>
      </w:pPr>
      <w:r>
        <w:t>Domestic Modulating flow varies between minimal and peak flow at recurring times of the day and can be used to predict and evaluate maximum demand times. Typically, Domestic flow gas peaks in the morning, has a lull during the day until the evening when peak flow returns. This is deemed a normal space heating profile.</w:t>
      </w:r>
    </w:p>
    <w:p w14:paraId="00CC1CF9" w14:textId="77777777" w:rsidR="00663133" w:rsidRDefault="00663133" w:rsidP="00663133">
      <w:pPr>
        <w:pStyle w:val="BNHeading2"/>
      </w:pPr>
      <w:bookmarkStart w:id="8" w:name="_Toc112838103"/>
      <w:bookmarkStart w:id="9" w:name="_Toc121813679"/>
      <w:r>
        <w:t>2.2) Standard Commercial Modulating Flow</w:t>
      </w:r>
      <w:bookmarkEnd w:id="8"/>
      <w:bookmarkEnd w:id="9"/>
    </w:p>
    <w:p w14:paraId="31801E67" w14:textId="732AED30" w:rsidR="00663133" w:rsidRDefault="00663133" w:rsidP="00292882">
      <w:pPr>
        <w:pStyle w:val="BNParagraph1"/>
      </w:pPr>
      <w:r>
        <w:t>Standard Commercial Modulating Flow varies between minimal and peak flow at recurring times of the day, which can be used to predict and evaluate maximum demand times.</w:t>
      </w:r>
    </w:p>
    <w:p w14:paraId="7F086091" w14:textId="77777777" w:rsidR="00663133" w:rsidRDefault="00663133" w:rsidP="00663133">
      <w:pPr>
        <w:pStyle w:val="BNHeading2"/>
      </w:pPr>
      <w:bookmarkStart w:id="10" w:name="_Toc112838104"/>
      <w:bookmarkStart w:id="11" w:name="_Toc121813680"/>
      <w:r>
        <w:t>2.3) Non-Typical Gas Demand Types</w:t>
      </w:r>
      <w:bookmarkEnd w:id="10"/>
      <w:bookmarkEnd w:id="11"/>
    </w:p>
    <w:p w14:paraId="7F6D933B" w14:textId="77777777" w:rsidR="00663133" w:rsidRDefault="00663133" w:rsidP="00292882">
      <w:pPr>
        <w:pStyle w:val="BNParagraph1"/>
      </w:pPr>
      <w:r>
        <w:t>A Non-Typical Gas Demand is defined as a gas flow not following a modulating, predictable pattern, gas could be used at any point, continuously over a 24 hour period or specifically during Non-Typical Seasonal periods, such as through the Summer Months.</w:t>
      </w:r>
    </w:p>
    <w:p w14:paraId="29B648AE" w14:textId="39E71D51" w:rsidR="00663133" w:rsidRDefault="00663133" w:rsidP="00292882">
      <w:pPr>
        <w:pStyle w:val="BNParagraph1"/>
      </w:pPr>
      <w:r>
        <w:t xml:space="preserve">Non-Typical Gas Demands are classed as specifically for Commercial or Industrial uses however should a Domestic Supply be utilised for CHP purposes, then it too is considered Non-Typical. </w:t>
      </w:r>
    </w:p>
    <w:p w14:paraId="725C86C9" w14:textId="62ABCF78" w:rsidR="00292882" w:rsidRDefault="00292882" w:rsidP="00292882">
      <w:pPr>
        <w:pStyle w:val="BNParagraph1"/>
      </w:pPr>
    </w:p>
    <w:p w14:paraId="74431192" w14:textId="4C060C38" w:rsidR="00292882" w:rsidRDefault="00292882" w:rsidP="00292882">
      <w:pPr>
        <w:pStyle w:val="BNParagraph1"/>
      </w:pPr>
    </w:p>
    <w:p w14:paraId="1F0F95B0" w14:textId="33EE5682" w:rsidR="00292882" w:rsidRDefault="00292882" w:rsidP="00292882">
      <w:pPr>
        <w:pStyle w:val="BNParagraph1"/>
      </w:pPr>
    </w:p>
    <w:p w14:paraId="59797D56" w14:textId="77777777" w:rsidR="00292882" w:rsidRDefault="00292882" w:rsidP="00292882">
      <w:pPr>
        <w:pStyle w:val="BNParagraph1"/>
      </w:pPr>
    </w:p>
    <w:p w14:paraId="5760744F" w14:textId="77777777" w:rsidR="00292882" w:rsidRDefault="00292882" w:rsidP="00292882">
      <w:pPr>
        <w:pStyle w:val="BNParagraph1"/>
      </w:pPr>
    </w:p>
    <w:p w14:paraId="51D62CA5" w14:textId="34024D69" w:rsidR="00663133" w:rsidRDefault="00663133" w:rsidP="00292882">
      <w:pPr>
        <w:pStyle w:val="BNParagraph1"/>
      </w:pPr>
      <w:r>
        <w:t>The main types of Non-Typical Gas Demands fall into the following categories:</w:t>
      </w:r>
    </w:p>
    <w:p w14:paraId="207BA450" w14:textId="77777777" w:rsidR="00663133" w:rsidRDefault="00663133" w:rsidP="00663133">
      <w:pPr>
        <w:pStyle w:val="BNBulletPoints"/>
      </w:pPr>
      <w:r>
        <w:t>Process Flow</w:t>
      </w:r>
    </w:p>
    <w:p w14:paraId="425B59E5" w14:textId="77777777" w:rsidR="00663133" w:rsidRDefault="00663133" w:rsidP="00663133">
      <w:pPr>
        <w:pStyle w:val="BNBulletPoints"/>
      </w:pPr>
      <w:r>
        <w:t>Constant Flow</w:t>
      </w:r>
    </w:p>
    <w:p w14:paraId="45946EF2" w14:textId="77777777" w:rsidR="00663133" w:rsidRPr="006E1F06" w:rsidRDefault="00663133" w:rsidP="00663133">
      <w:pPr>
        <w:pStyle w:val="BNBulletPoints"/>
      </w:pPr>
      <w:r w:rsidRPr="006E1F06">
        <w:t>On-Off Flow</w:t>
      </w:r>
    </w:p>
    <w:p w14:paraId="6A712210" w14:textId="77777777" w:rsidR="00663133" w:rsidRPr="006E1F06" w:rsidRDefault="00663133" w:rsidP="00663133">
      <w:pPr>
        <w:pStyle w:val="BNBulletPoints"/>
      </w:pPr>
      <w:r w:rsidRPr="006E1F06">
        <w:t>Power Generation or Short Term Operating Reserve (STOR)</w:t>
      </w:r>
    </w:p>
    <w:p w14:paraId="1134AC16" w14:textId="77777777" w:rsidR="00663133" w:rsidRPr="006E1F06" w:rsidRDefault="00663133" w:rsidP="00663133">
      <w:pPr>
        <w:pStyle w:val="BNBulletPoints"/>
      </w:pPr>
      <w:r w:rsidRPr="006E1F06">
        <w:t>Combined [Cooling] Heat and Power (CHP / CCHP)</w:t>
      </w:r>
    </w:p>
    <w:p w14:paraId="2CBA8D87" w14:textId="77777777" w:rsidR="00663133" w:rsidRDefault="00663133" w:rsidP="00663133">
      <w:pPr>
        <w:pStyle w:val="BNBulletPoints"/>
      </w:pPr>
      <w:r w:rsidRPr="006E1F06">
        <w:t>Compressed / Boosted Flow</w:t>
      </w:r>
    </w:p>
    <w:p w14:paraId="4D0324EB" w14:textId="77777777" w:rsidR="00663133" w:rsidRPr="00663133" w:rsidRDefault="00663133" w:rsidP="00663133">
      <w:pPr>
        <w:pStyle w:val="1BNSub"/>
      </w:pPr>
      <w:bookmarkStart w:id="12" w:name="_Toc112838105"/>
      <w:bookmarkStart w:id="13" w:name="_Toc121813681"/>
      <w:r w:rsidRPr="00663133">
        <w:t>2.4) Process Flow</w:t>
      </w:r>
      <w:bookmarkEnd w:id="12"/>
      <w:bookmarkEnd w:id="13"/>
    </w:p>
    <w:p w14:paraId="0CAC2883" w14:textId="77777777" w:rsidR="00663133" w:rsidRDefault="00663133" w:rsidP="00292882">
      <w:pPr>
        <w:pStyle w:val="BNParagraph1"/>
      </w:pPr>
      <w:r>
        <w:t xml:space="preserve">A Process Flow Load is identified as using gas for Commercial or Industrial production purposes with a lesser downtime than that of a Standard Commercial Load. Although generally following a consistent on-off pattern, this type of Non-Typical Gas Demand will still require an </w:t>
      </w:r>
      <w:r w:rsidRPr="00890779">
        <w:rPr>
          <w:i/>
          <w:iCs/>
          <w:color w:val="002060"/>
        </w:rPr>
        <w:t>Additional Load Information Form for Non-Typical Gas Demands</w:t>
      </w:r>
      <w:r>
        <w:t xml:space="preserve"> be provided to WWU with the application.</w:t>
      </w:r>
    </w:p>
    <w:p w14:paraId="2AE165F7" w14:textId="77777777" w:rsidR="00663133" w:rsidRPr="00663133" w:rsidRDefault="00663133" w:rsidP="00663133">
      <w:pPr>
        <w:spacing w:before="240" w:after="240" w:line="240" w:lineRule="auto"/>
        <w:ind w:left="782" w:hanging="357"/>
        <w:outlineLvl w:val="1"/>
        <w:rPr>
          <w:rFonts w:asciiTheme="majorHAnsi" w:hAnsiTheme="majorHAnsi"/>
          <w:b/>
          <w:color w:val="004B8D" w:themeColor="accent2" w:themeShade="BF"/>
          <w:spacing w:val="-2"/>
          <w:sz w:val="28"/>
          <w:szCs w:val="20"/>
        </w:rPr>
      </w:pPr>
      <w:bookmarkStart w:id="14" w:name="_Toc112838106"/>
      <w:bookmarkStart w:id="15" w:name="_Toc121813682"/>
      <w:r w:rsidRPr="00663133">
        <w:rPr>
          <w:rFonts w:asciiTheme="majorHAnsi" w:hAnsiTheme="majorHAnsi"/>
          <w:b/>
          <w:color w:val="004B8D" w:themeColor="accent2" w:themeShade="BF"/>
          <w:spacing w:val="-2"/>
          <w:sz w:val="28"/>
          <w:szCs w:val="20"/>
        </w:rPr>
        <w:t>2.5) Constant Flow</w:t>
      </w:r>
      <w:bookmarkEnd w:id="14"/>
      <w:bookmarkEnd w:id="15"/>
    </w:p>
    <w:p w14:paraId="241173F9" w14:textId="77777777" w:rsidR="00663133" w:rsidRPr="00663133" w:rsidRDefault="00663133" w:rsidP="00292882">
      <w:pPr>
        <w:pStyle w:val="BNParagraph1"/>
      </w:pPr>
      <w:r w:rsidRPr="00663133">
        <w:t>A Constant Flow Load will use gas 24/7, continuously for production purposes.</w:t>
      </w:r>
    </w:p>
    <w:p w14:paraId="7B108608" w14:textId="57028821" w:rsidR="00292882" w:rsidRDefault="00663133" w:rsidP="00292882">
      <w:pPr>
        <w:pStyle w:val="BNParagraph1"/>
      </w:pPr>
      <w:r w:rsidRPr="00663133">
        <w:t xml:space="preserve">Despite never having downtime, Constant Loads still require an </w:t>
      </w:r>
      <w:r w:rsidRPr="00890779">
        <w:rPr>
          <w:i/>
          <w:iCs/>
          <w:color w:val="002060"/>
        </w:rPr>
        <w:t>Additional Load Information Form for Non-Typical Gas Demands</w:t>
      </w:r>
      <w:r w:rsidRPr="00663133">
        <w:t xml:space="preserve"> be provided to WWU to confirm the requirement of Non-Typical analysis.</w:t>
      </w:r>
    </w:p>
    <w:p w14:paraId="172D3DB8" w14:textId="75A23981" w:rsidR="00292882" w:rsidRDefault="00292882" w:rsidP="00292882">
      <w:pPr>
        <w:pStyle w:val="BNParagraph1"/>
      </w:pPr>
    </w:p>
    <w:p w14:paraId="6B84F77B" w14:textId="77777777" w:rsidR="00292882" w:rsidRDefault="00292882" w:rsidP="00292882">
      <w:pPr>
        <w:pStyle w:val="BNParagraph1"/>
      </w:pPr>
    </w:p>
    <w:p w14:paraId="1BC5C7FD" w14:textId="77777777" w:rsidR="00663133" w:rsidRDefault="00663133" w:rsidP="00663133">
      <w:pPr>
        <w:pStyle w:val="BNHeading2"/>
      </w:pPr>
      <w:bookmarkStart w:id="16" w:name="_Toc112838107"/>
      <w:bookmarkStart w:id="17" w:name="_Toc121813683"/>
      <w:r>
        <w:lastRenderedPageBreak/>
        <w:t>2.6) On-Off Flow</w:t>
      </w:r>
      <w:bookmarkEnd w:id="16"/>
      <w:bookmarkEnd w:id="17"/>
    </w:p>
    <w:p w14:paraId="0D95EE29" w14:textId="1508CFDE" w:rsidR="00663133" w:rsidRDefault="00663133" w:rsidP="00292882">
      <w:pPr>
        <w:pStyle w:val="BNParagraph1"/>
      </w:pPr>
      <w:r>
        <w:t>A Commercial/Industrial On-Off Flow Load is similar to a Process Load yet not use for production purposes, therefore less predictable and vary widely in size.</w:t>
      </w:r>
    </w:p>
    <w:p w14:paraId="49BA1D33" w14:textId="1155947F" w:rsidR="00292882" w:rsidRDefault="00663133" w:rsidP="00292882">
      <w:pPr>
        <w:pStyle w:val="BNParagraph1"/>
      </w:pPr>
      <w:r>
        <w:t xml:space="preserve">It should not be used to classify a CHP or a STOR site but will require an </w:t>
      </w:r>
      <w:r w:rsidRPr="00890779">
        <w:rPr>
          <w:i/>
          <w:iCs/>
          <w:color w:val="002060"/>
        </w:rPr>
        <w:t>Additional Load Information Form for Non-Typical Gas Demands</w:t>
      </w:r>
      <w:r>
        <w:t xml:space="preserve"> be provided to WWU to confirm the requirement of Non-Typical analysis.</w:t>
      </w:r>
    </w:p>
    <w:p w14:paraId="71876D54" w14:textId="77777777" w:rsidR="00663133" w:rsidRDefault="00663133" w:rsidP="00663133">
      <w:pPr>
        <w:pStyle w:val="1BNSub"/>
      </w:pPr>
      <w:bookmarkStart w:id="18" w:name="_Toc121813684"/>
      <w:r>
        <w:t>2.7) Power Generation or Short Term Operating Reserve (STOR)</w:t>
      </w:r>
      <w:bookmarkEnd w:id="18"/>
    </w:p>
    <w:p w14:paraId="737A1EDB" w14:textId="77777777" w:rsidR="00663133" w:rsidRDefault="00663133" w:rsidP="00292882">
      <w:pPr>
        <w:pStyle w:val="BNParagraph1"/>
      </w:pPr>
      <w:r>
        <w:t>Short Term Operating Reserve (STOR) Sites use large quantities of gas to produce electricity as a means to safeguard security of supply to the National Electricity Grid System.</w:t>
      </w:r>
    </w:p>
    <w:p w14:paraId="677D2D54" w14:textId="1CE73D08" w:rsidR="00292882" w:rsidRDefault="00663133" w:rsidP="00292882">
      <w:pPr>
        <w:pStyle w:val="BNParagraph1"/>
      </w:pPr>
      <w:r>
        <w:t xml:space="preserve">Due to the nature of these Power Stations burning gas at peak flow within a relatively short period of time, usage is unpredictable and therefore requires </w:t>
      </w:r>
      <w:r w:rsidRPr="00890779">
        <w:rPr>
          <w:i/>
          <w:iCs/>
          <w:color w:val="002060"/>
        </w:rPr>
        <w:t>Additional Load Information Form for Non-Typical Gas Demands</w:t>
      </w:r>
      <w:r>
        <w:t xml:space="preserve"> be provided to WWU to confirm the requirement of Non-Typical analysis.</w:t>
      </w:r>
    </w:p>
    <w:p w14:paraId="6996DD2D" w14:textId="77777777" w:rsidR="00663133" w:rsidRPr="006E1F06" w:rsidRDefault="00663133" w:rsidP="00663133">
      <w:pPr>
        <w:pStyle w:val="BNHeading2"/>
      </w:pPr>
      <w:bookmarkStart w:id="19" w:name="_Toc112838108"/>
      <w:bookmarkStart w:id="20" w:name="_Toc121813685"/>
      <w:r w:rsidRPr="006E1F06">
        <w:t>2.8) Combined [Cooling] Heat and Power (CHP / CCHP)</w:t>
      </w:r>
      <w:bookmarkEnd w:id="19"/>
      <w:bookmarkEnd w:id="20"/>
    </w:p>
    <w:p w14:paraId="7E4796DE" w14:textId="69E63639" w:rsidR="00292882" w:rsidRDefault="00663133" w:rsidP="00292882">
      <w:pPr>
        <w:pStyle w:val="BNParagraph1"/>
      </w:pPr>
      <w:r w:rsidRPr="006E1F06">
        <w:t>Combined [Cooling] Heat and Power (CCHP) is the process of burning gas to generate heat and electricity simultaneously. This can also incorporate a subsequent use for Cooling/Air Conditioning.</w:t>
      </w:r>
    </w:p>
    <w:p w14:paraId="32C29065" w14:textId="2A5AD943" w:rsidR="00292882" w:rsidRDefault="00663133" w:rsidP="00292882">
      <w:pPr>
        <w:pStyle w:val="BNParagraph1"/>
      </w:pPr>
      <w:r w:rsidRPr="006E1F06">
        <w:t xml:space="preserve">Commercial/Industrial CHP Loads are typically large in quantity, but smaller </w:t>
      </w:r>
      <w:r>
        <w:t>C</w:t>
      </w:r>
      <w:r w:rsidRPr="006E1F06">
        <w:t>HP units are also common in Student Accommodation and Domestic premises. As a Domestic Mini-</w:t>
      </w:r>
      <w:r>
        <w:t>C</w:t>
      </w:r>
      <w:r w:rsidRPr="006E1F06">
        <w:t xml:space="preserve">HP unit uses gas to generate electricity at any point within a 24 hour period, it is deemed </w:t>
      </w:r>
      <w:r>
        <w:t>Non-Typical</w:t>
      </w:r>
      <w:r w:rsidRPr="006E1F06">
        <w:t xml:space="preserve"> and require an</w:t>
      </w:r>
      <w:r w:rsidR="00292882">
        <w:t xml:space="preserve"> </w:t>
      </w:r>
      <w:r w:rsidRPr="00890779">
        <w:rPr>
          <w:i/>
          <w:color w:val="002060"/>
        </w:rPr>
        <w:t>Additional Load Information Form for Non-Typical Gas Demands</w:t>
      </w:r>
      <w:r w:rsidRPr="006E1F06">
        <w:t xml:space="preserve"> be provided to WWU to confirm the requirement of </w:t>
      </w:r>
      <w:r>
        <w:t>Non-Typical</w:t>
      </w:r>
      <w:r w:rsidRPr="006E1F06">
        <w:t xml:space="preserve"> analysis</w:t>
      </w:r>
    </w:p>
    <w:p w14:paraId="7A4D9BA7" w14:textId="77777777" w:rsidR="00292882" w:rsidRDefault="00292882" w:rsidP="00292882">
      <w:pPr>
        <w:pStyle w:val="BNParagraph1"/>
      </w:pPr>
    </w:p>
    <w:p w14:paraId="02E07AB5" w14:textId="77777777" w:rsidR="00663133" w:rsidRPr="006E1F06" w:rsidRDefault="00663133" w:rsidP="00663133">
      <w:pPr>
        <w:pStyle w:val="BNHeading2"/>
      </w:pPr>
      <w:bookmarkStart w:id="21" w:name="_Toc112838109"/>
      <w:bookmarkStart w:id="22" w:name="_Toc121813686"/>
      <w:r w:rsidRPr="006E1F06">
        <w:t>2.9) Compressed / Boosted Flow</w:t>
      </w:r>
      <w:bookmarkEnd w:id="21"/>
      <w:bookmarkEnd w:id="22"/>
    </w:p>
    <w:p w14:paraId="78D026A6" w14:textId="451BC088" w:rsidR="00663133" w:rsidRDefault="00663133" w:rsidP="00292882">
      <w:pPr>
        <w:pStyle w:val="BNParagraph1"/>
      </w:pPr>
      <w:r w:rsidRPr="006E1F06">
        <w:t xml:space="preserve">Any gas supply that utilities a Compressor to Boost the incoming pressure is deemed </w:t>
      </w:r>
      <w:r>
        <w:t>Non-Typical</w:t>
      </w:r>
      <w:r w:rsidRPr="006E1F06">
        <w:t xml:space="preserve"> and will require a supplementary </w:t>
      </w:r>
      <w:r w:rsidRPr="00890779">
        <w:rPr>
          <w:i/>
          <w:color w:val="002060"/>
        </w:rPr>
        <w:t>Additional Load Information Form for Non-Typical Gas Demands</w:t>
      </w:r>
      <w:r w:rsidRPr="006E1F06">
        <w:t xml:space="preserve"> to enable Booster/</w:t>
      </w:r>
      <w:r>
        <w:t>Non-Typical</w:t>
      </w:r>
      <w:r w:rsidRPr="006E1F06">
        <w:t xml:space="preserve"> analysis.</w:t>
      </w:r>
    </w:p>
    <w:p w14:paraId="50CF3153" w14:textId="2F03F63F" w:rsidR="00663133" w:rsidRPr="002B0179" w:rsidRDefault="00663133" w:rsidP="00663133">
      <w:pPr>
        <w:pStyle w:val="BNHeading1"/>
      </w:pPr>
      <w:bookmarkStart w:id="23" w:name="_Toc112838110"/>
      <w:bookmarkStart w:id="24" w:name="_Toc121813687"/>
      <w:r>
        <w:t>Customer Requirements</w:t>
      </w:r>
      <w:bookmarkEnd w:id="23"/>
      <w:bookmarkEnd w:id="24"/>
      <w:r>
        <w:t xml:space="preserve"> </w:t>
      </w:r>
    </w:p>
    <w:p w14:paraId="37A4169E" w14:textId="77777777" w:rsidR="00663133" w:rsidRDefault="00663133" w:rsidP="00292882">
      <w:pPr>
        <w:pStyle w:val="BNParagraph1"/>
      </w:pPr>
      <w:r>
        <w:t xml:space="preserve">Any gas supply that utilises a compressor to boost the incoming pressure is deemed Non-Typical and require an </w:t>
      </w:r>
      <w:r w:rsidRPr="00890779">
        <w:rPr>
          <w:i/>
          <w:iCs/>
          <w:color w:val="002060"/>
        </w:rPr>
        <w:t>Additional Load Information Form for Non-Typical Gas Demands</w:t>
      </w:r>
      <w:r>
        <w:t>.</w:t>
      </w:r>
      <w:r w:rsidRPr="009864DB">
        <w:t xml:space="preserve"> </w:t>
      </w:r>
    </w:p>
    <w:p w14:paraId="2D048098" w14:textId="77777777" w:rsidR="00663133" w:rsidRDefault="00663133" w:rsidP="00292882">
      <w:pPr>
        <w:pStyle w:val="BNParagraph1"/>
      </w:pPr>
      <w:r>
        <w:t xml:space="preserve">In cases of Non-Typical Gas Demands, third parties should populate the </w:t>
      </w:r>
      <w:r w:rsidRPr="00890779">
        <w:rPr>
          <w:i/>
          <w:iCs/>
          <w:color w:val="002060"/>
        </w:rPr>
        <w:t>Additional Load Information Form for Non-Typical Gas Demands</w:t>
      </w:r>
      <w:r>
        <w:t xml:space="preserve"> and submit with the relevant application form to Third Party Connections.</w:t>
      </w:r>
    </w:p>
    <w:p w14:paraId="20C60EDA" w14:textId="6280480F" w:rsidR="00663133" w:rsidRDefault="00663133" w:rsidP="00292882">
      <w:pPr>
        <w:pStyle w:val="BNParagraph1"/>
      </w:pPr>
      <w:r>
        <w:t>Please note - Non-Typical Gas Demand requests and those utilising a compressor, or a booster cannot be Fast Tracked.</w:t>
      </w:r>
    </w:p>
    <w:p w14:paraId="58D3BBE5" w14:textId="18395610" w:rsidR="00663133" w:rsidRDefault="00663133" w:rsidP="00663133">
      <w:pPr>
        <w:pStyle w:val="BNHeading1"/>
      </w:pPr>
      <w:bookmarkStart w:id="25" w:name="_Toc112838111"/>
      <w:bookmarkStart w:id="26" w:name="_Toc121813688"/>
      <w:r>
        <w:t>Entry and Exit Agreement and ARCAs</w:t>
      </w:r>
      <w:bookmarkEnd w:id="25"/>
      <w:bookmarkEnd w:id="26"/>
    </w:p>
    <w:p w14:paraId="3E4DDEEC" w14:textId="27D4599C" w:rsidR="00663133" w:rsidRDefault="00663133" w:rsidP="00292882">
      <w:pPr>
        <w:pStyle w:val="BNParagraph1"/>
      </w:pPr>
      <w:r>
        <w:t xml:space="preserve">WWU has the right to require a customer to enter into a </w:t>
      </w:r>
      <w:r w:rsidRPr="00890779">
        <w:rPr>
          <w:i/>
          <w:iCs/>
          <w:color w:val="002060"/>
        </w:rPr>
        <w:t>Supply Point Network Exit Agreement (NExA)</w:t>
      </w:r>
      <w:r>
        <w:t xml:space="preserve">, </w:t>
      </w:r>
      <w:r w:rsidRPr="00890779">
        <w:rPr>
          <w:i/>
          <w:iCs/>
          <w:color w:val="002060"/>
        </w:rPr>
        <w:t>Network Entry Agreement (NEA)</w:t>
      </w:r>
      <w:r>
        <w:t xml:space="preserve"> and/or </w:t>
      </w:r>
      <w:r w:rsidRPr="00890779">
        <w:rPr>
          <w:i/>
          <w:iCs/>
          <w:color w:val="002060"/>
        </w:rPr>
        <w:t>Storage Connection Agreement (SCA)</w:t>
      </w:r>
      <w:r>
        <w:t xml:space="preserve"> as appropriate. An example of when WWU will make use of these rights is when a Very Large Daily Metered Customer is connected (The definition of a Very Large Daily Metered Customer is in Section A of WWUs </w:t>
      </w:r>
      <w:r w:rsidRPr="00890779">
        <w:rPr>
          <w:i/>
          <w:iCs/>
          <w:color w:val="002060"/>
        </w:rPr>
        <w:t>Uniform Network Code</w:t>
      </w:r>
      <w:r>
        <w:t xml:space="preserve">). </w:t>
      </w:r>
    </w:p>
    <w:p w14:paraId="187E87DF" w14:textId="77777777" w:rsidR="00292882" w:rsidRDefault="00292882" w:rsidP="00292882">
      <w:pPr>
        <w:pStyle w:val="BNParagraph1"/>
      </w:pPr>
    </w:p>
    <w:p w14:paraId="612F5E02" w14:textId="77777777" w:rsidR="00292882" w:rsidRDefault="00292882" w:rsidP="00292882">
      <w:pPr>
        <w:pStyle w:val="BNParagraph1"/>
      </w:pPr>
    </w:p>
    <w:p w14:paraId="4D93EC49" w14:textId="77777777" w:rsidR="00292882" w:rsidRDefault="00292882" w:rsidP="00292882">
      <w:pPr>
        <w:pStyle w:val="BNParagraph1"/>
      </w:pPr>
    </w:p>
    <w:p w14:paraId="4DDC2C76" w14:textId="71365CD3" w:rsidR="00663133" w:rsidRDefault="00663133" w:rsidP="00292882">
      <w:pPr>
        <w:pStyle w:val="BNParagraph1"/>
      </w:pPr>
      <w:r w:rsidRPr="00890779">
        <w:rPr>
          <w:i/>
          <w:iCs/>
          <w:color w:val="002060"/>
        </w:rPr>
        <w:t>NExAs</w:t>
      </w:r>
      <w:r>
        <w:t xml:space="preserve"> will also be applied where the demand profile is nonstandard or where the pressure is boosted after the meter to supply CHP apparatus.</w:t>
      </w:r>
    </w:p>
    <w:p w14:paraId="12A296C4" w14:textId="77777777" w:rsidR="00663133" w:rsidRDefault="00663133" w:rsidP="00292882">
      <w:pPr>
        <w:pStyle w:val="BNParagraph1"/>
      </w:pPr>
      <w:r>
        <w:t xml:space="preserve">An </w:t>
      </w:r>
      <w:r w:rsidRPr="00890779">
        <w:rPr>
          <w:i/>
          <w:iCs/>
          <w:color w:val="002060"/>
        </w:rPr>
        <w:t>ARCA (Advanced Reservation of Capacity Agreement)</w:t>
      </w:r>
      <w:r>
        <w:t xml:space="preserve"> will always be required for any load that is expected to consume more than 586 GWh a year.</w:t>
      </w:r>
    </w:p>
    <w:p w14:paraId="340B3E2E" w14:textId="3F55FC45" w:rsidR="00663133" w:rsidRDefault="00663133" w:rsidP="00292882">
      <w:pPr>
        <w:pStyle w:val="BNParagraph1"/>
      </w:pPr>
      <w:r>
        <w:t>For loads of 586 GWh and below, we may require an ARCA where the cost of Specific Reinforcement upstream of the Connection Charging Point (net of any customer contribution that equals or exceeds £500,000).</w:t>
      </w:r>
    </w:p>
    <w:p w14:paraId="01FC6121" w14:textId="77777777" w:rsidR="00663133" w:rsidRDefault="00663133" w:rsidP="00663133">
      <w:pPr>
        <w:pStyle w:val="BNHeading1"/>
        <w:numPr>
          <w:ilvl w:val="0"/>
          <w:numId w:val="0"/>
        </w:numPr>
        <w:ind w:left="786" w:hanging="360"/>
      </w:pPr>
      <w:bookmarkStart w:id="27" w:name="_Toc112838112"/>
      <w:bookmarkStart w:id="28" w:name="_Toc121813689"/>
      <w:r>
        <w:t>5)</w:t>
      </w:r>
      <w:r>
        <w:tab/>
        <w:t>Milestone Document</w:t>
      </w:r>
      <w:bookmarkEnd w:id="27"/>
      <w:bookmarkEnd w:id="28"/>
    </w:p>
    <w:p w14:paraId="4A26F220" w14:textId="77777777" w:rsidR="00663133" w:rsidRDefault="00663133" w:rsidP="00292882">
      <w:pPr>
        <w:pStyle w:val="BNParagraph1"/>
      </w:pPr>
      <w:r>
        <w:t xml:space="preserve">Within a WWU quotation document there are </w:t>
      </w:r>
      <w:r w:rsidRPr="00890779">
        <w:rPr>
          <w:i/>
          <w:iCs/>
          <w:color w:val="002060"/>
        </w:rPr>
        <w:t>Terms &amp; Conditions (T&amp;Cs)</w:t>
      </w:r>
      <w:r>
        <w:t xml:space="preserve"> referencing the validity of the quotation from the acceptance received date through to construction of the proposed pipeline.</w:t>
      </w:r>
    </w:p>
    <w:p w14:paraId="532385E0" w14:textId="77777777" w:rsidR="00663133" w:rsidRDefault="00663133" w:rsidP="00292882">
      <w:pPr>
        <w:pStyle w:val="BNParagraph1"/>
      </w:pPr>
      <w:r>
        <w:t xml:space="preserve">Where the customer is to exceed those conditions set out within the </w:t>
      </w:r>
      <w:r w:rsidRPr="00890779">
        <w:rPr>
          <w:i/>
          <w:iCs/>
          <w:color w:val="002060"/>
        </w:rPr>
        <w:t>T&amp;Cs,</w:t>
      </w:r>
      <w:r>
        <w:t xml:space="preserve"> the customer must complete a </w:t>
      </w:r>
      <w:r w:rsidRPr="00890779">
        <w:rPr>
          <w:i/>
          <w:iCs/>
          <w:color w:val="002060"/>
        </w:rPr>
        <w:t>Milestone Document</w:t>
      </w:r>
      <w:r>
        <w:t xml:space="preserve"> and request an extension from WWU via post or email.</w:t>
      </w:r>
    </w:p>
    <w:p w14:paraId="14D3C176" w14:textId="77777777" w:rsidR="00663133" w:rsidRPr="00967262" w:rsidRDefault="00663133" w:rsidP="00292882">
      <w:pPr>
        <w:pStyle w:val="BNParagraph1"/>
      </w:pPr>
      <w:r>
        <w:t>WWU will review the lead times detailed within the Milestone proposal and either accept or reject the document. If there is no agreement in place between WWU and the customer, the standard quotation validity periods set out within the quotations T&amp;Cs will apply.</w:t>
      </w:r>
    </w:p>
    <w:p w14:paraId="2D9D33FF" w14:textId="77777777" w:rsidR="00663133" w:rsidRDefault="00663133" w:rsidP="00292882">
      <w:pPr>
        <w:pStyle w:val="BNParagraph1"/>
      </w:pPr>
    </w:p>
    <w:sectPr w:rsidR="00663133" w:rsidSect="00292882">
      <w:headerReference w:type="default" r:id="rId16"/>
      <w:pgSz w:w="11906" w:h="16838"/>
      <w:pgMar w:top="1701" w:right="1418" w:bottom="1701"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A279" w14:textId="77777777" w:rsidR="005F710F" w:rsidRDefault="005F710F" w:rsidP="00491899">
      <w:r>
        <w:separator/>
      </w:r>
    </w:p>
  </w:endnote>
  <w:endnote w:type="continuationSeparator" w:id="0">
    <w:p w14:paraId="58FB50AE" w14:textId="77777777" w:rsidR="005F710F" w:rsidRDefault="005F710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8DDA" w14:textId="77777777" w:rsidR="00292882" w:rsidRDefault="00292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0A456A8E"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2848"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663133">
      <w:rPr>
        <w:sz w:val="24"/>
        <w:szCs w:val="24"/>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C926" w14:textId="77777777" w:rsidR="005F710F" w:rsidRDefault="005F710F" w:rsidP="00491899">
      <w:r>
        <w:separator/>
      </w:r>
    </w:p>
  </w:footnote>
  <w:footnote w:type="continuationSeparator" w:id="0">
    <w:p w14:paraId="2045116A" w14:textId="77777777" w:rsidR="005F710F" w:rsidRDefault="005F710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31387" w14:textId="77777777" w:rsidR="00292882" w:rsidRDefault="00292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65CA489F" w:rsidR="00D54600" w:rsidRPr="00491899" w:rsidRDefault="00692D1C" w:rsidP="00491899">
    <w:pPr>
      <w:pStyle w:val="TopHeader"/>
      <w:tabs>
        <w:tab w:val="clear" w:pos="1276"/>
        <w:tab w:val="left" w:pos="1232"/>
      </w:tabs>
    </w:pPr>
    <w:r w:rsidRPr="00CC45B2">
      <w:rPr>
        <w:rFonts w:ascii="Comfortaa" w:hAnsi="Comfortaa"/>
        <w:noProof/>
        <w:color w:val="5E6A71"/>
        <w:lang w:eastAsia="en-GB"/>
      </w:rPr>
      <w:drawing>
        <wp:anchor distT="0" distB="0" distL="114300" distR="114300" simplePos="0" relativeHeight="251656704"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21812760"/>
    <w:r w:rsidR="00663133">
      <w:rPr>
        <w:rFonts w:ascii="Comfortaa" w:hAnsi="Comfortaa"/>
        <w:color w:val="5E6A71"/>
      </w:rPr>
      <w:t>Non-Typical Gas Demand</w:t>
    </w:r>
    <w:bookmarkEnd w:id="0"/>
    <w:r w:rsidR="00663133">
      <w:rPr>
        <w:rFonts w:ascii="Comfortaa" w:hAnsi="Comfortaa"/>
        <w:color w:val="5E6A71"/>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0560" behindDoc="1" locked="0" layoutInCell="1" allowOverlap="1" wp14:anchorId="156DCA21" wp14:editId="2BC47A2B">
          <wp:simplePos x="0" y="0"/>
          <wp:positionH relativeFrom="margin">
            <wp:posOffset>-885825</wp:posOffset>
          </wp:positionH>
          <wp:positionV relativeFrom="margin">
            <wp:posOffset>-2488774</wp:posOffset>
          </wp:positionV>
          <wp:extent cx="7552690" cy="11900848"/>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2690" cy="1190084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EE56" w14:textId="41F0F1FF" w:rsidR="008A1F82" w:rsidRPr="00491899" w:rsidRDefault="008A1F82" w:rsidP="008A1F82">
    <w:pPr>
      <w:pStyle w:val="TopHeader"/>
      <w:tabs>
        <w:tab w:val="clear" w:pos="1276"/>
        <w:tab w:val="left" w:pos="1232"/>
      </w:tabs>
    </w:pPr>
    <w:r w:rsidRPr="00491899">
      <w:rPr>
        <w:noProof/>
        <w:lang w:eastAsia="en-GB"/>
      </w:rPr>
      <w:drawing>
        <wp:anchor distT="0" distB="0" distL="114300" distR="114300" simplePos="0" relativeHeight="25167001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3133">
      <w:rPr>
        <w:rFonts w:ascii="Comfortaa" w:hAnsi="Comfortaa"/>
        <w:color w:val="5E6A71"/>
      </w:rPr>
      <w:t>Non-Typical Gas Demands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11D6A778"/>
    <w:lvl w:ilvl="0" w:tplc="25CC6A9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0397C"/>
    <w:multiLevelType w:val="hybridMultilevel"/>
    <w:tmpl w:val="A58C7228"/>
    <w:lvl w:ilvl="0" w:tplc="C5024FDE">
      <w:start w:val="1"/>
      <w:numFmt w:val="decimal"/>
      <w:pStyle w:val="BN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2"/>
  </w:num>
  <w:num w:numId="2" w16cid:durableId="1941446347">
    <w:abstractNumId w:val="12"/>
  </w:num>
  <w:num w:numId="3" w16cid:durableId="1946451560">
    <w:abstractNumId w:val="12"/>
  </w:num>
  <w:num w:numId="4" w16cid:durableId="1404252639">
    <w:abstractNumId w:val="12"/>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8"/>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11"/>
  </w:num>
  <w:num w:numId="16" w16cid:durableId="1513763069">
    <w:abstractNumId w:val="9"/>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 w:numId="21" w16cid:durableId="157498267">
    <w:abstractNumId w:val="5"/>
    <w:lvlOverride w:ilvl="0">
      <w:startOverride w:val="1"/>
    </w:lvlOverride>
  </w:num>
  <w:num w:numId="22" w16cid:durableId="767115256">
    <w:abstractNumId w:val="7"/>
  </w:num>
  <w:num w:numId="23" w16cid:durableId="619073291">
    <w:abstractNumId w:val="5"/>
    <w:lvlOverride w:ilvl="0">
      <w:startOverride w:val="1"/>
    </w:lvlOverride>
  </w:num>
  <w:num w:numId="24" w16cid:durableId="1250232231">
    <w:abstractNumId w:val="5"/>
    <w:lvlOverride w:ilvl="0">
      <w:startOverride w:val="4"/>
    </w:lvlOverride>
  </w:num>
  <w:num w:numId="25" w16cid:durableId="727996394">
    <w:abstractNumId w:val="5"/>
    <w:lvlOverride w:ilvl="0">
      <w:startOverride w:val="1"/>
    </w:lvlOverride>
  </w:num>
  <w:num w:numId="26" w16cid:durableId="2054771025">
    <w:abstractNumId w:val="5"/>
    <w:lvlOverride w:ilvl="0">
      <w:startOverride w:val="1"/>
    </w:lvlOverride>
  </w:num>
  <w:num w:numId="27" w16cid:durableId="2128693257">
    <w:abstractNumId w:val="5"/>
    <w:lvlOverride w:ilvl="0">
      <w:startOverride w:val="1"/>
    </w:lvlOverride>
  </w:num>
  <w:num w:numId="28" w16cid:durableId="313877422">
    <w:abstractNumId w:val="5"/>
    <w:lvlOverride w:ilvl="0">
      <w:startOverride w:val="1"/>
    </w:lvlOverride>
  </w:num>
  <w:num w:numId="29" w16cid:durableId="1684354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dIys91SV/WfYsd9/79tvJz8TqAauzBpK4CvP6SdmwygI2wPc3A4tm5n/Sdu8GUdvDmT9JWvixXkpE/sQJxgppA==" w:salt="AiK0xQRBWlnXpojmrKDxrQ=="/>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37123"/>
    <w:rsid w:val="00130678"/>
    <w:rsid w:val="0014325B"/>
    <w:rsid w:val="001A2D9E"/>
    <w:rsid w:val="001B0813"/>
    <w:rsid w:val="001B270D"/>
    <w:rsid w:val="001B4857"/>
    <w:rsid w:val="001B69F5"/>
    <w:rsid w:val="001C1BE1"/>
    <w:rsid w:val="001D612E"/>
    <w:rsid w:val="00232143"/>
    <w:rsid w:val="002433B7"/>
    <w:rsid w:val="002659CF"/>
    <w:rsid w:val="00271D89"/>
    <w:rsid w:val="00292882"/>
    <w:rsid w:val="002930B9"/>
    <w:rsid w:val="002B0DA9"/>
    <w:rsid w:val="002F0240"/>
    <w:rsid w:val="003020B3"/>
    <w:rsid w:val="00304E05"/>
    <w:rsid w:val="003234D7"/>
    <w:rsid w:val="003272AD"/>
    <w:rsid w:val="0033789F"/>
    <w:rsid w:val="0035669E"/>
    <w:rsid w:val="003815B5"/>
    <w:rsid w:val="003C0423"/>
    <w:rsid w:val="003E5FD6"/>
    <w:rsid w:val="00482879"/>
    <w:rsid w:val="00491899"/>
    <w:rsid w:val="00492EAB"/>
    <w:rsid w:val="00496B64"/>
    <w:rsid w:val="004A30FE"/>
    <w:rsid w:val="00584393"/>
    <w:rsid w:val="005A1253"/>
    <w:rsid w:val="005D17A4"/>
    <w:rsid w:val="005F710F"/>
    <w:rsid w:val="00611773"/>
    <w:rsid w:val="00663133"/>
    <w:rsid w:val="00684E88"/>
    <w:rsid w:val="00692D1C"/>
    <w:rsid w:val="006A60FA"/>
    <w:rsid w:val="006B68E9"/>
    <w:rsid w:val="007202CF"/>
    <w:rsid w:val="007568DF"/>
    <w:rsid w:val="00761CAF"/>
    <w:rsid w:val="007621E3"/>
    <w:rsid w:val="00770AAD"/>
    <w:rsid w:val="00772C61"/>
    <w:rsid w:val="0079231C"/>
    <w:rsid w:val="007A624C"/>
    <w:rsid w:val="007E1FBB"/>
    <w:rsid w:val="00806CAC"/>
    <w:rsid w:val="008376EF"/>
    <w:rsid w:val="00855A5C"/>
    <w:rsid w:val="00890779"/>
    <w:rsid w:val="008A1F82"/>
    <w:rsid w:val="00921AF6"/>
    <w:rsid w:val="00967262"/>
    <w:rsid w:val="009C6BC8"/>
    <w:rsid w:val="009D455C"/>
    <w:rsid w:val="009E1395"/>
    <w:rsid w:val="00A1046C"/>
    <w:rsid w:val="00A36586"/>
    <w:rsid w:val="00A7090C"/>
    <w:rsid w:val="00A76B44"/>
    <w:rsid w:val="00AD01E9"/>
    <w:rsid w:val="00AF071F"/>
    <w:rsid w:val="00B3056F"/>
    <w:rsid w:val="00B42A7B"/>
    <w:rsid w:val="00B5362D"/>
    <w:rsid w:val="00BA2D51"/>
    <w:rsid w:val="00BC4DA4"/>
    <w:rsid w:val="00BC5B8C"/>
    <w:rsid w:val="00BD29C6"/>
    <w:rsid w:val="00BD2AC5"/>
    <w:rsid w:val="00BD5AC0"/>
    <w:rsid w:val="00C1301F"/>
    <w:rsid w:val="00C31E9F"/>
    <w:rsid w:val="00C42624"/>
    <w:rsid w:val="00C51604"/>
    <w:rsid w:val="00C653B9"/>
    <w:rsid w:val="00CC45B2"/>
    <w:rsid w:val="00CF21F0"/>
    <w:rsid w:val="00D03B68"/>
    <w:rsid w:val="00D54600"/>
    <w:rsid w:val="00D74953"/>
    <w:rsid w:val="00D83481"/>
    <w:rsid w:val="00DB0D36"/>
    <w:rsid w:val="00E31A05"/>
    <w:rsid w:val="00E54916"/>
    <w:rsid w:val="00E631E3"/>
    <w:rsid w:val="00E6581A"/>
    <w:rsid w:val="00E8758B"/>
    <w:rsid w:val="00E9063D"/>
    <w:rsid w:val="00EB75BC"/>
    <w:rsid w:val="00EC607D"/>
    <w:rsid w:val="00F02A4A"/>
    <w:rsid w:val="00F03135"/>
    <w:rsid w:val="00F15B34"/>
    <w:rsid w:val="00FA61DD"/>
    <w:rsid w:val="00FD3F6B"/>
    <w:rsid w:val="00FD57F8"/>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A1046C"/>
    <w:pPr>
      <w:tabs>
        <w:tab w:val="clear" w:pos="198"/>
        <w:tab w:val="right" w:leader="dot" w:pos="7666"/>
      </w:tabs>
      <w:spacing w:after="100" w:line="480" w:lineRule="auto"/>
      <w:ind w:left="180"/>
    </w:pPr>
    <w:rPr>
      <w:rFonts w:asciiTheme="majorHAnsi" w:hAnsiTheme="majorHAnsi"/>
      <w:b/>
      <w:bCs/>
      <w:noProof/>
      <w:spacing w:val="-2"/>
      <w:sz w:val="28"/>
      <w:szCs w:val="28"/>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292882"/>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292882"/>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663133"/>
    <w:pPr>
      <w:numPr>
        <w:numId w:val="29"/>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663133"/>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806CAC"/>
    <w:pPr>
      <w:spacing w:before="240" w:after="240" w:line="240" w:lineRule="auto"/>
      <w:ind w:left="782" w:hanging="357"/>
      <w:outlineLvl w:val="1"/>
    </w:pPr>
    <w:rPr>
      <w:rFonts w:asciiTheme="majorHAnsi" w:hAnsiTheme="majorHAnsi"/>
      <w:b/>
      <w:color w:val="004B8D" w:themeColor="accent2" w:themeShade="BF"/>
      <w:spacing w:val="-2"/>
      <w:sz w:val="28"/>
      <w:szCs w:val="20"/>
    </w:rPr>
  </w:style>
  <w:style w:type="character" w:customStyle="1" w:styleId="BNHeading2Char">
    <w:name w:val="BN Heading 2 Char"/>
    <w:basedOn w:val="DefaultParagraphFont"/>
    <w:link w:val="BNHeading2"/>
    <w:rsid w:val="00806CAC"/>
    <w:rPr>
      <w:rFonts w:asciiTheme="majorHAnsi" w:hAnsiTheme="majorHAnsi" w:cs="Helvetica Neue"/>
      <w:b/>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2.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3.xml><?xml version="1.0" encoding="utf-8"?>
<ds:datastoreItem xmlns:ds="http://schemas.openxmlformats.org/officeDocument/2006/customXml" ds:itemID="{F524807C-98C9-4908-B4D5-64AB85E57E9F}"/>
</file>

<file path=customXml/itemProps4.xml><?xml version="1.0" encoding="utf-8"?>
<ds:datastoreItem xmlns:ds="http://schemas.openxmlformats.org/officeDocument/2006/customXml" ds:itemID="{2B223E97-147D-4529-9552-7282DF770F15}"/>
</file>

<file path=docProps/app.xml><?xml version="1.0" encoding="utf-8"?>
<Properties xmlns="http://schemas.openxmlformats.org/officeDocument/2006/extended-properties" xmlns:vt="http://schemas.openxmlformats.org/officeDocument/2006/docPropsVTypes">
  <Template>Normal</Template>
  <TotalTime>17</TotalTime>
  <Pages>8</Pages>
  <Words>1288</Words>
  <Characters>7343</Characters>
  <Application>Microsoft Office Word</Application>
  <DocSecurity>8</DocSecurity>
  <Lines>61</Lines>
  <Paragraphs>17</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8</cp:revision>
  <cp:lastPrinted>2022-07-07T15:13:00Z</cp:lastPrinted>
  <dcterms:created xsi:type="dcterms:W3CDTF">2022-12-13T08:50:00Z</dcterms:created>
  <dcterms:modified xsi:type="dcterms:W3CDTF">2023-03-03T09:26:00Z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